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7919" w14:textId="77777777" w:rsidR="00370692" w:rsidRPr="00856E56" w:rsidRDefault="00370692" w:rsidP="0037069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Schedule Part 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8"/>
        <w:gridCol w:w="2072"/>
        <w:gridCol w:w="1761"/>
        <w:gridCol w:w="2889"/>
        <w:gridCol w:w="1364"/>
        <w:gridCol w:w="1512"/>
      </w:tblGrid>
      <w:tr w:rsidR="00370692" w:rsidRPr="00BF3B73" w14:paraId="06E395E2" w14:textId="77777777" w:rsidTr="0023102D">
        <w:trPr>
          <w:trHeight w:val="6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7214586B" w14:textId="77777777" w:rsidR="00370692" w:rsidRPr="00BF3B73" w:rsidRDefault="0037069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Record no.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119104B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b/>
                <w:bCs/>
                <w:lang w:eastAsia="en-GB"/>
              </w:rPr>
              <w:t>Business record type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036FE13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b/>
                <w:bCs/>
                <w:lang w:eastAsia="en-GB"/>
              </w:rPr>
              <w:t>Jack and Jill Preschool Retention schedule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7620B06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b/>
                <w:bCs/>
                <w:lang w:eastAsia="en-GB"/>
              </w:rPr>
              <w:t>Authority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5F1D72E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b/>
                <w:bCs/>
                <w:lang w:eastAsia="en-GB"/>
              </w:rPr>
              <w:t>Security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14:paraId="07CE0D5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b/>
                <w:bCs/>
                <w:lang w:eastAsia="en-GB"/>
              </w:rPr>
              <w:t>Housekeeping</w:t>
            </w:r>
          </w:p>
        </w:tc>
      </w:tr>
      <w:tr w:rsidR="00552012" w:rsidRPr="00BF3B73" w14:paraId="6439FF53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489E" w14:textId="710D748B" w:rsidR="0055201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B0F7" w14:textId="09FDC9EC" w:rsidR="00552012" w:rsidRPr="00BF3B73" w:rsidRDefault="0055201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Enrolled children’s records - including (but not limited to) registers, photographs, </w:t>
            </w:r>
            <w:r w:rsidR="0093204A"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observations, medication</w:t>
            </w: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record books and accident record books pertaining to the children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5A30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Until the child reaches the</w:t>
            </w:r>
          </w:p>
          <w:p w14:paraId="3C7DB76F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age of 21 - or until the child</w:t>
            </w:r>
          </w:p>
          <w:p w14:paraId="3DF2E88D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reaches the age of 24 for</w:t>
            </w:r>
          </w:p>
          <w:p w14:paraId="5166A5DB" w14:textId="2AD05126" w:rsidR="00552012" w:rsidRPr="00BF3B73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child protection records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BCDD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Limitation Act 1980/The Statute of Limitations</w:t>
            </w:r>
          </w:p>
          <w:p w14:paraId="26EC598E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(Amendment) Act 1991</w:t>
            </w:r>
          </w:p>
          <w:p w14:paraId="54346C4F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Normal limitation rules (which mean that an</w:t>
            </w:r>
          </w:p>
          <w:p w14:paraId="7A2BF6BA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individual can claim for negligently caused personal</w:t>
            </w:r>
          </w:p>
          <w:p w14:paraId="03A52A38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injury up to 3 years after, or deliberately caused</w:t>
            </w:r>
          </w:p>
          <w:p w14:paraId="72516881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personal injury up to 6 years after the event) are</w:t>
            </w:r>
          </w:p>
          <w:p w14:paraId="69F5B040" w14:textId="3823059D" w:rsidR="00552012" w:rsidRPr="00BF3B73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postponed until a child reaches 18 years old.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3AC4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  <w:p w14:paraId="6921445F" w14:textId="77777777" w:rsidR="00552012" w:rsidRPr="00552012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1778475" w14:textId="3C48E22E" w:rsidR="00552012" w:rsidRPr="00BF3B73" w:rsidRDefault="00552012" w:rsidP="0055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Secure cloud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43FD" w14:textId="48B899FC" w:rsidR="00552012" w:rsidRPr="00BF3B73" w:rsidRDefault="0055201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  <w:r w:rsidR="00C1796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552012" w:rsidRPr="00BF3B73" w14:paraId="73CB3D9C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BF4E" w14:textId="2C3CDFC0" w:rsidR="0055201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EB87" w14:textId="51B24FAC" w:rsidR="00552012" w:rsidRPr="00BF3B73" w:rsidRDefault="0055201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Maximum 4 years from date of registration. If child is </w:t>
            </w:r>
            <w:r w:rsidR="0093204A"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enrolled</w:t>
            </w: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then the data provided on the registration form is securely destroyed. If the child is removed from the waiting list then the registration form is securely destroyed. A child can be on the waiting list a maximum of 4 years.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6BDD" w14:textId="64793317" w:rsidR="00552012" w:rsidRPr="00BF3B73" w:rsidRDefault="0055201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Registered interest - Parent and child records - registration form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E49D" w14:textId="4BA1BCD0" w:rsidR="00552012" w:rsidRPr="00BF3B73" w:rsidRDefault="0055201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Determined internally due to </w:t>
            </w:r>
            <w:r w:rsidR="0093204A"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legitimate</w:t>
            </w: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business reason.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2119" w14:textId="0519C43B" w:rsidR="00552012" w:rsidRDefault="0055201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889BB03" w14:textId="788EB39B" w:rsidR="00552012" w:rsidRPr="00552012" w:rsidRDefault="00552012" w:rsidP="00552012">
            <w:pPr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lang w:eastAsia="en-GB"/>
              </w:rPr>
              <w:t>Secure cloud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6931" w14:textId="6FE37C05" w:rsidR="00552012" w:rsidRPr="00BF3B73" w:rsidRDefault="0055201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52012">
              <w:rPr>
                <w:rFonts w:ascii="Calibri" w:eastAsia="Times New Roman" w:hAnsi="Calibri" w:cs="Times New Roman"/>
                <w:color w:val="000000"/>
                <w:lang w:eastAsia="en-GB"/>
              </w:rPr>
              <w:t>Each intake (September, January and Easter) records are reviewed and deleted if necessary</w:t>
            </w:r>
          </w:p>
        </w:tc>
      </w:tr>
      <w:tr w:rsidR="00370692" w:rsidRPr="00BF3B73" w14:paraId="6DF22DF8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C48F" w14:textId="477B6F5B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8A65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Records of any reportable death, injury, disease or dangerous occurrence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4CD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3 years after the date on which it happened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893C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The Reporting of Injuries, Diseases and Dangerous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Occurrences Regulations 1995 (RIDDOR)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(SI 1995/3163)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6DF4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1B7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7D4E165B" w14:textId="77777777" w:rsidTr="0023102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7475" w14:textId="57A6541B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A5F7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Personnel files and training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records (including disciplinary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records and working time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records)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B923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6 years after employment ceases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6DB3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Institute of Personnel and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AC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Encrypted cloud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BA7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118922B8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AAED" w14:textId="74DCB124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2854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Application forms and interview notes (for unsuccessful candidates)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FD61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max 12 months (on consent from individual)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241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Institute of Personnel and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71F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2AF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16803128" w14:textId="77777777" w:rsidTr="0023102D">
        <w:trPr>
          <w:trHeight w:val="4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B047" w14:textId="2106890B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7FEA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CRB Check/Disclosure information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11F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Until the date of Ofsted inspection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2865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Criminal Record Bureau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Organisations that are subject to Ofsted inspections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are entitled to retain Disclosure certificates until the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date of inspection, after which only the following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basic information may be retained and the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Disclosures should be securely destroyed in line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with the CRB Code of Practice: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- the date of issue of a Disclosure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- the name of the subject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- the type of Disclosure requested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- the position for which the Disclosure was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requested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- the unique reference number of the Disclosure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 - the details of the recruitment decision taken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613D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43F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0605770A" w14:textId="77777777" w:rsidTr="0023102D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82C1" w14:textId="4BF2820A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FAE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Wage/salary records (including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>overtime, bonuses and</w:t>
            </w: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  <w:t xml:space="preserve">expenses) 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6DFA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6 years</w:t>
            </w:r>
          </w:p>
        </w:tc>
        <w:tc>
          <w:tcPr>
            <w:tcW w:w="5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F0C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Taxes Management Act 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DDC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1341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</w:tr>
      <w:tr w:rsidR="00370692" w:rsidRPr="00BF3B73" w14:paraId="51597989" w14:textId="77777777" w:rsidTr="0023102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669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86C7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4FCB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EDE0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56A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524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23C6C1DA" w14:textId="77777777" w:rsidTr="0023102D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984D64" w14:textId="2E5C0A7E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DDE041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Statutory Maternity Pay (SMP) records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F0D8E1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3 years after the end of the tax year in which the maternity period ends</w:t>
            </w:r>
          </w:p>
        </w:tc>
        <w:tc>
          <w:tcPr>
            <w:tcW w:w="5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BD2394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The Statutory Maternity Pay (General) Regulations 1986 (SI 1986/1960)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B78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DE23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09BD59C0" w14:textId="77777777" w:rsidTr="0023102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999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338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AD4C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606DD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2659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0AE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</w:tr>
      <w:tr w:rsidR="00370692" w:rsidRPr="00BF3B73" w14:paraId="59121502" w14:textId="77777777" w:rsidTr="0023102D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28CAC8" w14:textId="302631D5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F81EB0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Statutory Sick Pay (SSP) records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BE437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3 years after the end of the tax year to which they relate</w:t>
            </w:r>
          </w:p>
        </w:tc>
        <w:tc>
          <w:tcPr>
            <w:tcW w:w="5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2E297C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The Statutory Sick Pay (General) Regulations 1982 (SI 1982/894)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2EF3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DCE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1EE04C24" w14:textId="77777777" w:rsidTr="0023102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C31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5F1B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1794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9D45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18F0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83DB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</w:tr>
      <w:tr w:rsidR="00370692" w:rsidRPr="00BF3B73" w14:paraId="38DDB578" w14:textId="77777777" w:rsidTr="0023102D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D5C3FE" w14:textId="2457E52F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CA29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Income tax and National Insurance returns/records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875BD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At least 3 years after the end of the tax year to which they relate</w:t>
            </w:r>
          </w:p>
        </w:tc>
        <w:tc>
          <w:tcPr>
            <w:tcW w:w="5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B3C2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The Income Tax (Employments) Regulations 1993 (SI 1993/744)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26A3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3B31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7CCB7FA2" w14:textId="77777777" w:rsidTr="0023102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A160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69F1D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30110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CA15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9C31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E61B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</w:tr>
      <w:tr w:rsidR="00370692" w:rsidRPr="00BF3B73" w14:paraId="49821DF0" w14:textId="77777777" w:rsidTr="0023102D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EC6449" w14:textId="7A30CDA7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D016DD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Redundancy details, calculations of payments, refunds, notification to the Secretary of State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A0E0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6 years from the date of redundancy</w:t>
            </w:r>
          </w:p>
        </w:tc>
        <w:tc>
          <w:tcPr>
            <w:tcW w:w="5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C8F231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Institute of Personnel and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1EDC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CEB0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318C8C33" w14:textId="77777777" w:rsidTr="0023102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35E8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0875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38D0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B41E7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198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1FE0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</w:tr>
      <w:tr w:rsidR="00370692" w:rsidRPr="00BF3B73" w14:paraId="27947D25" w14:textId="77777777" w:rsidTr="0023102D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405D" w14:textId="1447857E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26B3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Staff accident records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5EB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3 years after the date of the last entry (there are separate rules for the recording of accidents involving hazardous substances)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98F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Social Security (Claims and Payments) Regulations 1979 (SI 1979/628)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6449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45C5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1C3652DE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C179" w14:textId="77550719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E7F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Records of any reportable death, injury, disease or dangerous occurrence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F01A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3 years after the date on which it happened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F05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The Reporting of Injuries, Diseases and Dangerous Occurrences Regulations 1995 (RIDDOR) (SI 1995/3163)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D361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1CA9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3DBA98DD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CF76" w14:textId="5BD811BA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C047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Accident/medical records as specified by the Control of Substances Hazardous to Health Regulations (COSHH)1999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388A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40 years from the date of the last entry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CA51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The Control of Substances Hazardous to Health Regulations 1999 (COSHH) (SI 1999/437)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6A81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Encrypted cloud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B1F9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227B0831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3658" w14:textId="4E98E54C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A28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Assessments under Health and Safety Regulations and records of consultations with safety representatives and committees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4AEC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10 years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2D0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Institute of Personnel and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4C74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Encrypted cloud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B3D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4D2AB6BA" w14:textId="77777777" w:rsidTr="0023102D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F610A5" w14:textId="5C234DF5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E989C5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Accounting records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571FC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6 years</w:t>
            </w:r>
          </w:p>
        </w:tc>
        <w:tc>
          <w:tcPr>
            <w:tcW w:w="5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A437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Charities Act 1993 and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454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Encrypted cloud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C510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0E1A0407" w14:textId="77777777" w:rsidTr="0023102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0D515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8CD3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660C8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A24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9FB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1D5C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VT Accountancy</w:t>
            </w:r>
          </w:p>
        </w:tc>
      </w:tr>
      <w:tr w:rsidR="00370692" w:rsidRPr="00BF3B73" w14:paraId="7E5CC031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3D76" w14:textId="66C85B67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A53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Complaints record book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340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At least 3 years from the date of the last record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DA13F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Early Years Foundation Stage Welfare Requirements (given legal force by Childcare Act 2006)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CA46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B7D9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0EFB625E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1920" w14:textId="3C0EC958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CE3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Visitor signing in record book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16C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1 year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0271" w14:textId="77777777" w:rsidR="00370692" w:rsidRPr="00BF3B73" w:rsidRDefault="0037069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8D89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6423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3E027367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66D8" w14:textId="7269648B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5D3C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Insurance liability documents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AECB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40 years from date of issue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A672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The Employers’ Liability (Compulsory Insurance) Regulations 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3144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Locked archive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CCFB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Each January and July records are reviewed and shredded if necessary</w:t>
            </w:r>
          </w:p>
        </w:tc>
      </w:tr>
      <w:tr w:rsidR="00370692" w:rsidRPr="00BF3B73" w14:paraId="029B30ED" w14:textId="77777777" w:rsidTr="0023102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156C" w14:textId="1D164E7A" w:rsidR="00370692" w:rsidRPr="00BF3B73" w:rsidRDefault="00552012" w:rsidP="00231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DCB9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Minutes/minute books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953A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10 years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9AD3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Chartered Institute of Personnel and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78CE" w14:textId="77777777" w:rsidR="00370692" w:rsidRPr="00BF3B73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3B73">
              <w:rPr>
                <w:rFonts w:ascii="Calibri" w:eastAsia="Times New Roman" w:hAnsi="Calibri" w:cs="Times New Roman"/>
                <w:color w:val="000000"/>
                <w:lang w:eastAsia="en-GB"/>
              </w:rPr>
              <w:t>Encrypted cloud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3CBF" w14:textId="77777777" w:rsidR="00370692" w:rsidRPr="00F43976" w:rsidRDefault="00370692" w:rsidP="002310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439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Each January and July records are reviewed and shredded if necessary</w:t>
            </w:r>
          </w:p>
        </w:tc>
      </w:tr>
    </w:tbl>
    <w:p w14:paraId="16B096CB" w14:textId="77777777" w:rsidR="00370692" w:rsidRDefault="00370692" w:rsidP="00F43976"/>
    <w:sectPr w:rsidR="00370692" w:rsidSect="004E7277">
      <w:headerReference w:type="default" r:id="rId7"/>
      <w:footerReference w:type="default" r:id="rId8"/>
      <w:pgSz w:w="11906" w:h="16838"/>
      <w:pgMar w:top="720" w:right="720" w:bottom="720" w:left="720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9BAF" w14:textId="77777777" w:rsidR="00004C57" w:rsidRDefault="00004C57" w:rsidP="00177951">
      <w:pPr>
        <w:spacing w:after="0" w:line="240" w:lineRule="auto"/>
      </w:pPr>
      <w:r>
        <w:separator/>
      </w:r>
    </w:p>
  </w:endnote>
  <w:endnote w:type="continuationSeparator" w:id="0">
    <w:p w14:paraId="6FA821E5" w14:textId="77777777" w:rsidR="00004C57" w:rsidRDefault="00004C57" w:rsidP="0017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F47D" w14:textId="7979B063" w:rsidR="00A34F7F" w:rsidRPr="00BB72E2" w:rsidRDefault="00A34F7F" w:rsidP="00A34F7F">
    <w:pPr>
      <w:pStyle w:val="Footer"/>
      <w:jc w:val="both"/>
      <w:rPr>
        <w:color w:val="7030A0"/>
      </w:rPr>
    </w:pPr>
    <w:r w:rsidRPr="00BB72E2">
      <w:rPr>
        <w:color w:val="7030A0"/>
      </w:rPr>
      <w:t>Jack &amp; Jill Pre-School Bicester Charitable Incorporated Organisation is registered with the Charity Commission for England and Wales with registered Charity Number 1176772.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7F4A" w14:textId="77777777" w:rsidR="00004C57" w:rsidRDefault="00004C57" w:rsidP="00177951">
      <w:pPr>
        <w:spacing w:after="0" w:line="240" w:lineRule="auto"/>
      </w:pPr>
      <w:r>
        <w:separator/>
      </w:r>
    </w:p>
  </w:footnote>
  <w:footnote w:type="continuationSeparator" w:id="0">
    <w:p w14:paraId="0FD60E64" w14:textId="77777777" w:rsidR="00004C57" w:rsidRDefault="00004C57" w:rsidP="0017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EA66" w14:textId="7162FBA8" w:rsidR="00177951" w:rsidRDefault="00370692" w:rsidP="00F43976">
    <w:pPr>
      <w:pStyle w:val="Header"/>
      <w:tabs>
        <w:tab w:val="clear" w:pos="4513"/>
        <w:tab w:val="clear" w:pos="9026"/>
        <w:tab w:val="left" w:pos="237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AB59B" wp14:editId="559192DB">
              <wp:simplePos x="0" y="0"/>
              <wp:positionH relativeFrom="column">
                <wp:posOffset>3962400</wp:posOffset>
              </wp:positionH>
              <wp:positionV relativeFrom="paragraph">
                <wp:posOffset>300990</wp:posOffset>
              </wp:positionV>
              <wp:extent cx="3114675" cy="4762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675" cy="47625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BE435" id="Rectangle 2" o:spid="_x0000_s1026" style="position:absolute;margin-left:312pt;margin-top:23.7pt;width:24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" fillcolor="#7030a0" strokecolor="#1f3763 [1604]" strokeweight="1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7FAFA81" wp14:editId="196CFED0">
          <wp:simplePos x="0" y="0"/>
          <wp:positionH relativeFrom="column">
            <wp:posOffset>2638425</wp:posOffset>
          </wp:positionH>
          <wp:positionV relativeFrom="paragraph">
            <wp:posOffset>-165735</wp:posOffset>
          </wp:positionV>
          <wp:extent cx="1323975" cy="1323975"/>
          <wp:effectExtent l="0" t="0" r="9525" b="9525"/>
          <wp:wrapTopAndBottom/>
          <wp:docPr id="1" name="Picture 1" descr="C:\Users\collierl001\AppData\Local\Microsoft\Windows\INetCacheContent.Word\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lierl001\AppData\Local\Microsoft\Windows\INetCacheContent.Word\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22689" wp14:editId="53A036EE">
              <wp:simplePos x="0" y="0"/>
              <wp:positionH relativeFrom="column">
                <wp:posOffset>-628651</wp:posOffset>
              </wp:positionH>
              <wp:positionV relativeFrom="paragraph">
                <wp:posOffset>300990</wp:posOffset>
              </wp:positionV>
              <wp:extent cx="3267075" cy="4762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47625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579372" w14:textId="77777777" w:rsidR="00BB72E2" w:rsidRDefault="00BB72E2" w:rsidP="00BB72E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22689" id="Rectangle 3" o:spid="_x0000_s1026" style="position:absolute;margin-left:-49.5pt;margin-top:23.7pt;width:257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" fillcolor="#7030a0" strokecolor="#1f3763 [1604]" strokeweight="1pt">
              <v:textbox>
                <w:txbxContent>
                  <w:p w14:paraId="7D579372" w14:textId="77777777" w:rsidR="00BB72E2" w:rsidRDefault="00BB72E2" w:rsidP="00BB72E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B5097"/>
    <w:multiLevelType w:val="hybridMultilevel"/>
    <w:tmpl w:val="0F7E9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000D"/>
    <w:multiLevelType w:val="hybridMultilevel"/>
    <w:tmpl w:val="6B2A9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38003">
    <w:abstractNumId w:val="1"/>
  </w:num>
  <w:num w:numId="2" w16cid:durableId="118616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51"/>
    <w:rsid w:val="00004C57"/>
    <w:rsid w:val="00177951"/>
    <w:rsid w:val="00213C1A"/>
    <w:rsid w:val="002251E8"/>
    <w:rsid w:val="00231123"/>
    <w:rsid w:val="00370692"/>
    <w:rsid w:val="00474128"/>
    <w:rsid w:val="004E7277"/>
    <w:rsid w:val="005436E1"/>
    <w:rsid w:val="00552012"/>
    <w:rsid w:val="005A23BB"/>
    <w:rsid w:val="00763894"/>
    <w:rsid w:val="0079768D"/>
    <w:rsid w:val="0093204A"/>
    <w:rsid w:val="009A3BD0"/>
    <w:rsid w:val="009F2BBD"/>
    <w:rsid w:val="00A34F7F"/>
    <w:rsid w:val="00B83E08"/>
    <w:rsid w:val="00BB72E2"/>
    <w:rsid w:val="00C0288B"/>
    <w:rsid w:val="00C1796A"/>
    <w:rsid w:val="00C54726"/>
    <w:rsid w:val="00F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00D4FC"/>
  <w15:chartTrackingRefBased/>
  <w15:docId w15:val="{B0D37272-C78E-42DB-94FB-6E35EB0E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51"/>
  </w:style>
  <w:style w:type="paragraph" w:styleId="Footer">
    <w:name w:val="footer"/>
    <w:basedOn w:val="Normal"/>
    <w:link w:val="FooterChar"/>
    <w:uiPriority w:val="99"/>
    <w:unhideWhenUsed/>
    <w:rsid w:val="00177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51"/>
  </w:style>
  <w:style w:type="paragraph" w:styleId="ListParagraph">
    <w:name w:val="List Paragraph"/>
    <w:basedOn w:val="Normal"/>
    <w:uiPriority w:val="34"/>
    <w:qFormat/>
    <w:rsid w:val="00177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Jack and Jill Office</cp:lastModifiedBy>
  <cp:revision>6</cp:revision>
  <cp:lastPrinted>2017-12-16T19:45:00Z</cp:lastPrinted>
  <dcterms:created xsi:type="dcterms:W3CDTF">2018-05-24T10:03:00Z</dcterms:created>
  <dcterms:modified xsi:type="dcterms:W3CDTF">2023-08-05T09:35:00Z</dcterms:modified>
</cp:coreProperties>
</file>